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194567" w:rsidRDefault="00853CC5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r w:rsidR="00A41BD4"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D70D00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137C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 </w:t>
      </w:r>
      <w:r w:rsidR="00853CC5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CC5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68-350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7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 р.п. Первомайский Щекинского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>р.п. Первомайский Щекинского района РЕШИЛО: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изменения в Приложение к решению Собрания депутатов муниципального образования рабочий поселок Первомайский Щекинского района от 24.06.2014 №64-321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Контроль за исполнением настоящего решения возложить на главу администрации МО р.п. Первомайский Щекинского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Решение вступает в силу со дня его официального опубликования.</w:t>
      </w:r>
    </w:p>
    <w:p w:rsidR="00A41BD4" w:rsidRPr="00EF3FC2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49"/>
      </w:tblGrid>
      <w:tr w:rsidR="00A41BD4" w:rsidRPr="00EF3FC2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EF3FC2" w:rsidRDefault="00853CC5" w:rsidP="00EF3FC2">
            <w:pPr>
              <w:pStyle w:val="af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F3FC2" w:rsidRDefault="00EF3FC2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CB09D5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3CC5">
        <w:rPr>
          <w:rFonts w:ascii="Times New Roman" w:hAnsi="Times New Roman" w:cs="Times New Roman"/>
          <w:sz w:val="28"/>
          <w:szCs w:val="28"/>
        </w:rPr>
        <w:t xml:space="preserve"> июля</w:t>
      </w:r>
      <w:r w:rsidR="004026A7">
        <w:rPr>
          <w:rFonts w:ascii="Times New Roman" w:hAnsi="Times New Roman" w:cs="Times New Roman"/>
          <w:sz w:val="28"/>
          <w:szCs w:val="28"/>
        </w:rPr>
        <w:t xml:space="preserve"> 201</w:t>
      </w:r>
      <w:r w:rsidR="00853CC5">
        <w:rPr>
          <w:rFonts w:ascii="Times New Roman" w:hAnsi="Times New Roman" w:cs="Times New Roman"/>
          <w:sz w:val="28"/>
          <w:szCs w:val="28"/>
        </w:rPr>
        <w:t>8</w:t>
      </w:r>
      <w:r w:rsidR="0040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</w:t>
      </w:r>
      <w:r w:rsidR="00D70D00">
        <w:rPr>
          <w:rFonts w:ascii="Times New Roman" w:hAnsi="Times New Roman" w:cs="Times New Roman"/>
          <w:sz w:val="28"/>
          <w:szCs w:val="28"/>
        </w:rPr>
        <w:t xml:space="preserve"> 68-350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proofErr w:type="gramStart"/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>
        <w:rPr>
          <w:sz w:val="28"/>
          <w:szCs w:val="28"/>
        </w:rPr>
        <w:t>айский Щёкинского района на 2014</w:t>
      </w:r>
      <w:r w:rsidRPr="00275E06">
        <w:rPr>
          <w:sz w:val="28"/>
          <w:szCs w:val="28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  <w:proofErr w:type="gramEnd"/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  <w:bookmarkStart w:id="8" w:name="_GoBack"/>
      <w:bookmarkEnd w:id="8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CB09D5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». Средняя норма водопотребления на одного жителя с учетом промышленности л/сек. – 309 л/в сутки 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.; без учета промышленности - 287 л/в сутки на чел. Процент охвата населения централизованным водоснабжен</w:t>
      </w:r>
      <w:r w:rsidR="00833668">
        <w:rPr>
          <w:rFonts w:ascii="Times New Roman" w:hAnsi="Times New Roman" w:cs="Times New Roman"/>
          <w:sz w:val="28"/>
          <w:szCs w:val="28"/>
        </w:rPr>
        <w:t xml:space="preserve">ием в капитальной застройке – 100 </w:t>
      </w:r>
      <w:r w:rsidRPr="00275E06">
        <w:rPr>
          <w:rFonts w:ascii="Times New Roman" w:hAnsi="Times New Roman" w:cs="Times New Roman"/>
          <w:sz w:val="28"/>
          <w:szCs w:val="28"/>
        </w:rPr>
        <w:t>%,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="00D31DE2">
        <w:rPr>
          <w:rFonts w:ascii="Times New Roman" w:hAnsi="Times New Roman" w:cs="Times New Roman"/>
          <w:sz w:val="28"/>
          <w:szCs w:val="28"/>
        </w:rPr>
        <w:t>в индивидуальной застройке – 98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9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lastRenderedPageBreak/>
        <w:t>4.2. Водоотведение</w:t>
      </w:r>
      <w:bookmarkEnd w:id="9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0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10"/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1" w:name="_Toc179131831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1"/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 xml:space="preserve">филиала ОАО «Газпром газораспределение Тула» в </w:t>
      </w:r>
      <w:proofErr w:type="gramStart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г</w:t>
      </w:r>
      <w:proofErr w:type="gramEnd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. Щекино.</w:t>
      </w:r>
      <w:r w:rsidR="00676CCF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2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, в индивидуальной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500" w:type="dxa"/>
        <w:tblLayout w:type="fixed"/>
        <w:tblLook w:val="04A0"/>
      </w:tblPr>
      <w:tblGrid>
        <w:gridCol w:w="846"/>
        <w:gridCol w:w="1984"/>
        <w:gridCol w:w="3544"/>
        <w:gridCol w:w="2126"/>
      </w:tblGrid>
      <w:tr w:rsidR="007254D6" w:rsidRPr="00B63E75" w:rsidTr="00833668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р.п.Первомайскийул.Яснополянская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р.п.Первомайскийул.Перспективная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ул.Строительная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р.п.Первомайскийул.Овражная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р.п.Первомайскийул.Зеленая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р.п.Первомайскийул.Прудная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р.п.Первомайскийул.Северная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р.п.Первомайскийул.Гражданская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833668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ул.Больничная до ул.Индустриальная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р.п.Первомайскийул.Индустриальная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до ул.Трудовая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</w:tbl>
    <w:p w:rsidR="007254D6" w:rsidRDefault="007254D6" w:rsidP="007254D6"/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B63E75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р.п.Первомайскийул.Пролетарская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Pr="00275E06" w:rsidRDefault="00275E06" w:rsidP="00853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 от котельных, в основном, подается на отопление. Только от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 xml:space="preserve">филиала ОАО «Газпром газораспределение Тула» в </w:t>
      </w:r>
      <w:proofErr w:type="gramStart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г</w:t>
      </w:r>
      <w:proofErr w:type="gramEnd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</w:t>
      </w:r>
      <w:proofErr w:type="gram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</w:t>
      </w:r>
      <w:proofErr w:type="spellEnd"/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3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р.п.ПервомайскийЩекинский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2205A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8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формирования технических заданий утверждается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2205A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 xml:space="preserve"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задания, разрабатываемые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833668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р.п.</w:t>
      </w:r>
      <w:r w:rsidR="00CB09D5">
        <w:rPr>
          <w:sz w:val="28"/>
          <w:szCs w:val="28"/>
        </w:rPr>
        <w:t xml:space="preserve"> </w:t>
      </w:r>
      <w:proofErr w:type="gramStart"/>
      <w:r w:rsidRPr="00275E06">
        <w:rPr>
          <w:sz w:val="28"/>
          <w:szCs w:val="28"/>
        </w:rPr>
        <w:t>Первомайский</w:t>
      </w:r>
      <w:proofErr w:type="gramEnd"/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</w:t>
      </w:r>
      <w:r w:rsidRPr="00275E06">
        <w:rPr>
          <w:sz w:val="28"/>
          <w:szCs w:val="28"/>
        </w:rPr>
        <w:lastRenderedPageBreak/>
        <w:t>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Администрации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833668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</w:t>
      </w:r>
      <w:proofErr w:type="gramStart"/>
      <w:r w:rsidRPr="00275E06">
        <w:rPr>
          <w:sz w:val="28"/>
          <w:szCs w:val="28"/>
        </w:rPr>
        <w:t>контроля за</w:t>
      </w:r>
      <w:proofErr w:type="gramEnd"/>
      <w:r w:rsidRPr="00275E06">
        <w:rPr>
          <w:sz w:val="28"/>
          <w:szCs w:val="28"/>
        </w:rPr>
        <w:t xml:space="preserve"> исполнением инвестиционной </w:t>
      </w:r>
      <w:r w:rsidR="006C7171" w:rsidRPr="00275E06">
        <w:rPr>
          <w:sz w:val="28"/>
          <w:szCs w:val="28"/>
        </w:rPr>
        <w:t>программы и</w:t>
      </w:r>
      <w:r w:rsidR="00CB09D5">
        <w:rPr>
          <w:sz w:val="28"/>
          <w:szCs w:val="28"/>
        </w:rPr>
        <w:t xml:space="preserve"> </w:t>
      </w:r>
      <w:r w:rsidR="006C7171" w:rsidRPr="00275E06">
        <w:rPr>
          <w:sz w:val="28"/>
          <w:szCs w:val="28"/>
        </w:rPr>
        <w:t>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lastRenderedPageBreak/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р.п.Первомайский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Default="00CB09D5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82EE8"/>
    <w:rsid w:val="004A1ECF"/>
    <w:rsid w:val="004A43B9"/>
    <w:rsid w:val="004B4CDD"/>
    <w:rsid w:val="005137C8"/>
    <w:rsid w:val="0052205A"/>
    <w:rsid w:val="00537877"/>
    <w:rsid w:val="0056673D"/>
    <w:rsid w:val="005956CF"/>
    <w:rsid w:val="005E4C10"/>
    <w:rsid w:val="00611A80"/>
    <w:rsid w:val="00617690"/>
    <w:rsid w:val="00675C2A"/>
    <w:rsid w:val="00676CCF"/>
    <w:rsid w:val="0069794B"/>
    <w:rsid w:val="006A6CA2"/>
    <w:rsid w:val="006B7B8C"/>
    <w:rsid w:val="006C7171"/>
    <w:rsid w:val="006D1DB9"/>
    <w:rsid w:val="006D3DD8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7C42"/>
    <w:rsid w:val="00A345C4"/>
    <w:rsid w:val="00A41BD4"/>
    <w:rsid w:val="00A853AD"/>
    <w:rsid w:val="00AB355A"/>
    <w:rsid w:val="00AF3F70"/>
    <w:rsid w:val="00BE008E"/>
    <w:rsid w:val="00C0090C"/>
    <w:rsid w:val="00CB09D5"/>
    <w:rsid w:val="00D3132D"/>
    <w:rsid w:val="00D31DE2"/>
    <w:rsid w:val="00D70D00"/>
    <w:rsid w:val="00E0596F"/>
    <w:rsid w:val="00E071AA"/>
    <w:rsid w:val="00E21D84"/>
    <w:rsid w:val="00E357EF"/>
    <w:rsid w:val="00E52ED5"/>
    <w:rsid w:val="00E9525E"/>
    <w:rsid w:val="00EE1A50"/>
    <w:rsid w:val="00EF3FC2"/>
    <w:rsid w:val="00F50074"/>
    <w:rsid w:val="00F67AC1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8D9-E944-4D4B-969C-9AD933C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15</cp:revision>
  <cp:lastPrinted>2014-05-28T12:06:00Z</cp:lastPrinted>
  <dcterms:created xsi:type="dcterms:W3CDTF">2018-04-16T11:04:00Z</dcterms:created>
  <dcterms:modified xsi:type="dcterms:W3CDTF">2018-07-18T11:05:00Z</dcterms:modified>
</cp:coreProperties>
</file>